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bookmarkStart w:id="0" w:name="_GoBack"/>
      <w:bookmarkEnd w:id="0"/>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umieszczonymi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717" w:type="dxa"/>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717" w:type="dxa"/>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4" w:type="dxa"/>
        <w:tblCellMar>
          <w:top w:w="0" w:type="dxa"/>
          <w:left w:w="108" w:type="dxa"/>
          <w:bottom w:w="0" w:type="dxa"/>
          <w:right w:w="108" w:type="dxa"/>
        </w:tblCellMar>
        <w:tblLook w:firstRow="1" w:noVBand="1" w:lastRow="0" w:firstColumn="1" w:lastColumn="0" w:noHBand="0" w:val="04a0"/>
      </w:tblPr>
      <w:tblGrid>
        <w:gridCol w:w="2203"/>
        <w:gridCol w:w="3143"/>
        <w:gridCol w:w="1806"/>
        <w:gridCol w:w="2059"/>
      </w:tblGrid>
      <w:tr>
        <w:trPr>
          <w:trHeight w:val="498" w:hRule="atLeast"/>
        </w:trPr>
        <w:tc>
          <w:tcPr>
            <w:tcW w:w="9211" w:type="dxa"/>
            <w:gridSpan w:val="4"/>
            <w:tcBorders/>
            <w:shd w:color="auto" w:fill="DDD9C3" w:themeFill="background2" w:themeFillShade="e6" w:val="clear"/>
            <w:vAlign w:val="center"/>
          </w:tcPr>
          <w:p>
            <w:pPr>
              <w:pStyle w:val="ListParagraph"/>
              <w:numPr>
                <w:ilvl w:val="0"/>
                <w:numId w:val="1"/>
              </w:numPr>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 xml:space="preserve">Rozliczenie wydatków za rok … </w:t>
            </w:r>
          </w:p>
        </w:tc>
      </w:tr>
      <w:tr>
        <w:trPr>
          <w:trHeight w:val="498" w:hRule="atLeast"/>
        </w:trPr>
        <w:tc>
          <w:tcPr>
            <w:tcW w:w="220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6"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3"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9"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9"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6"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CellMar>
          <w:top w:w="0" w:type="dxa"/>
          <w:left w:w="62" w:type="dxa"/>
          <w:bottom w:w="0" w:type="dxa"/>
          <w:right w:w="70" w:type="dxa"/>
        </w:tblCellMar>
        <w:tblLook w:firstRow="0" w:noVBand="0" w:lastRow="0" w:firstColumn="0" w:lastColumn="0" w:noHBand="0" w:val="0000"/>
      </w:tblPr>
      <w:tblGrid>
        <w:gridCol w:w="484"/>
        <w:gridCol w:w="798"/>
        <w:gridCol w:w="5681"/>
        <w:gridCol w:w="914"/>
        <w:gridCol w:w="1335"/>
      </w:tblGrid>
      <w:tr>
        <w:trPr>
          <w:trHeight w:val="326" w:hRule="atLeast"/>
        </w:trPr>
        <w:tc>
          <w:tcPr>
            <w:tcW w:w="9212"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4"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79"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5"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4"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79"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4" w:type="dxa"/>
            <w:vMerge w:val="continue"/>
            <w:tcBorders>
              <w:top w:val="single" w:sz="6"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4"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79"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4"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4"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4"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1"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vMerge w:val="restart"/>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4"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top w:val="single" w:sz="4"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1"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auto"/>
                <w:sz w:val="18"/>
                <w:szCs w:val="18"/>
                <w:shd w:fill="FFFFFF" w:val="clear"/>
              </w:rPr>
              <w:t xml:space="preserve">……………………………………………………………………………………………………………………………….... </w:t>
            </w:r>
          </w:p>
        </w:tc>
        <w:tc>
          <w:tcPr>
            <w:tcW w:w="914" w:type="dxa"/>
            <w:vMerge w:val="continue"/>
            <w:tcBorders>
              <w:top w:val="single" w:sz="4" w:space="0" w:color="000000"/>
              <w:left w:val="single" w:sz="4" w:space="0" w:color="000000"/>
              <w:bottom w:val="single" w:sz="6"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vMerge w:val="continue"/>
            <w:tcBorders>
              <w:top w:val="single" w:sz="4" w:space="0" w:color="000000"/>
              <w:left w:val="single" w:sz="4" w:space="0" w:color="000000"/>
              <w:bottom w:val="single" w:sz="6"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4"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1"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79"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1"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79"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4"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79"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5"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4"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79"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5"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9" w:type="dxa"/>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9" w:type="dxa"/>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shd w:fill="auto" w:val="cle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4" w:type="dxa"/>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shd w:fill="C4BC96" w:val="clear"/>
            <w:tcMar>
              <w:left w:w="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72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color w:val="auto"/>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basedOn w:val="Normal"/>
    <w:next w:val="Normal"/>
    <w:qFormat/>
    <w:rsid w:val="0027003b"/>
    <w:pPr>
      <w:widowControl/>
      <w:bidi w:val="0"/>
      <w:jc w:val="lef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F35D-9216-4522-AC21-B9362725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LibreOffice/6.2.0.3$Windows_X86_64 LibreOffice_project/98c6a8a1c6c7b144ce3cc729e34964b47ce25d62</Application>
  <Pages>4</Pages>
  <Words>954</Words>
  <Characters>5993</Characters>
  <CharactersWithSpaces>6871</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2019-11-29T13:51:00Z</dcterms:created>
  <dc:creator>Kancelaria Prezydenta RP</dc:creator>
  <dc:description/>
  <dc:language>pl-PL</dc:language>
  <cp:lastModifiedBy/>
  <cp:lastPrinted>2018-10-09T16:18:00Z</cp:lastPrinted>
  <dcterms:modified xsi:type="dcterms:W3CDTF">2020-01-20T12:47:16Z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