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AA88" w14:textId="77777777" w:rsidR="00890328" w:rsidRDefault="00890328" w:rsidP="00890328">
      <w:pPr>
        <w:pStyle w:val="Standard"/>
        <w:pageBreakBefore/>
        <w:ind w:hanging="15"/>
        <w:jc w:val="center"/>
      </w:pPr>
      <w:bookmarkStart w:id="0" w:name="_Hlk174967578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</w:rPr>
        <w:t>LISTA KANDYDATÓW</w:t>
      </w:r>
    </w:p>
    <w:p w14:paraId="18A2093D" w14:textId="77777777" w:rsidR="00890328" w:rsidRDefault="00890328" w:rsidP="00890328">
      <w:pPr>
        <w:pStyle w:val="Standard"/>
        <w:ind w:hanging="15"/>
        <w:jc w:val="both"/>
        <w:rPr>
          <w:rFonts w:ascii="Arial" w:hAnsi="Arial" w:cs="Arial"/>
          <w:b/>
          <w:bCs/>
        </w:rPr>
      </w:pPr>
    </w:p>
    <w:p w14:paraId="1B4916DE" w14:textId="77777777" w:rsidR="00890328" w:rsidRDefault="00890328" w:rsidP="00890328">
      <w:pPr>
        <w:pStyle w:val="Standard"/>
        <w:ind w:hanging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spełniających wymagania formalne naboru kandydatów w drodze konkursu na stanowisko urzędnicze – Referent do spraw  rolnictwa i ochrony gruntów rolnych w Wydziale Rolnictwa, Leśnictwa i Ochrony Środowiska Starostwa Powiatowego w Tomaszowie Lubelskim</w:t>
      </w:r>
    </w:p>
    <w:p w14:paraId="5DFF14D8" w14:textId="77777777" w:rsidR="00890328" w:rsidRDefault="00890328" w:rsidP="00890328">
      <w:pPr>
        <w:pStyle w:val="Standard"/>
        <w:ind w:hanging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DCF8647" w14:textId="77777777" w:rsidR="00890328" w:rsidRDefault="00890328" w:rsidP="00890328">
      <w:pPr>
        <w:pStyle w:val="Standard"/>
        <w:ind w:hanging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Informuję, że w wyniku wstępnej weryfikacji złożonych ofert  na w/w stanowisko pracy do następnego etapu rekrutacji zakwalifikowali się następujący kandydaci spełniający wymagania formalne określone w ogłoszeniu Starosty Tomaszowskiego z dnia 16 października  2024 r.</w:t>
      </w:r>
    </w:p>
    <w:p w14:paraId="3D5F032C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01097D5D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tbl>
      <w:tblPr>
        <w:tblW w:w="969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4470"/>
        <w:gridCol w:w="4200"/>
      </w:tblGrid>
      <w:tr w:rsidR="00890328" w14:paraId="26A0FCB8" w14:textId="77777777" w:rsidTr="00B57EEE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B0C1C" w14:textId="77777777" w:rsidR="00890328" w:rsidRDefault="00890328" w:rsidP="00B57EEE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7845" w14:textId="77777777" w:rsidR="00890328" w:rsidRDefault="00890328" w:rsidP="00B57EEE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DC29" w14:textId="77777777" w:rsidR="00890328" w:rsidRDefault="00890328" w:rsidP="00B57EEE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zamieszkania</w:t>
            </w:r>
          </w:p>
        </w:tc>
      </w:tr>
      <w:tr w:rsidR="00890328" w14:paraId="77BBCEF1" w14:textId="77777777" w:rsidTr="00B57EEE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BE102" w14:textId="77777777" w:rsidR="00890328" w:rsidRDefault="00890328" w:rsidP="00B57EEE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3CC1D" w14:textId="77777777" w:rsidR="00890328" w:rsidRDefault="00890328" w:rsidP="00B57EEE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Łukasz Wójcik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A4BD4" w14:textId="77777777" w:rsidR="00890328" w:rsidRDefault="00890328" w:rsidP="00B57EEE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Dyniska </w:t>
            </w:r>
          </w:p>
        </w:tc>
      </w:tr>
    </w:tbl>
    <w:p w14:paraId="7AFEE5F7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1FC91CA9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015D307A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6F196AD2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Tomaszów Lubelski, 2024.10.30</w:t>
      </w:r>
    </w:p>
    <w:p w14:paraId="3D23E477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25007715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1DE52FE8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7C6B917F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  <w:t>……………………………………..…..</w:t>
      </w:r>
    </w:p>
    <w:p w14:paraId="45B9BA82" w14:textId="77777777" w:rsidR="00890328" w:rsidRDefault="00890328" w:rsidP="00890328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  <w:t>podpis przewodniczącego komisji</w:t>
      </w:r>
    </w:p>
    <w:bookmarkEnd w:id="0"/>
    <w:p w14:paraId="062109E8" w14:textId="77777777" w:rsidR="003C4DE8" w:rsidRDefault="003C4DE8"/>
    <w:sectPr w:rsidR="003C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D1"/>
    <w:rsid w:val="003715F4"/>
    <w:rsid w:val="003C4DE8"/>
    <w:rsid w:val="008572D1"/>
    <w:rsid w:val="008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93637-352F-47EB-A337-3E6F3BE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3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03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  <w:style w:type="paragraph" w:customStyle="1" w:styleId="TableContents">
    <w:name w:val="Table Contents"/>
    <w:basedOn w:val="Standard"/>
    <w:rsid w:val="008903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Magdalena Sawka</cp:lastModifiedBy>
  <cp:revision>2</cp:revision>
  <dcterms:created xsi:type="dcterms:W3CDTF">2024-10-30T12:22:00Z</dcterms:created>
  <dcterms:modified xsi:type="dcterms:W3CDTF">2024-10-30T12:22:00Z</dcterms:modified>
</cp:coreProperties>
</file>